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Росреестра от 24.05.2021 N П/0216</w:t>
              <w:br/>
              <w:t xml:space="preserve">(ред. от 17.06.2025)</w:t>
              <w:br/>
              <w:t xml:space="preserve">"Об утверждении Порядка рассмотрения декларации о характеристиках объекта недвижимости, в том числе ее формы"</w:t>
              <w:br/>
              <w:t xml:space="preserve">(Зарегистрировано в Минюсте России 17.09.2021 N 65037)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17 сентября 2021 г. N 65037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ФЕДЕРАЛЬНАЯ СЛУЖБА ГОСУДАРСТВЕННОЙ РЕГИСТРАЦИИ,</w:t>
      </w:r>
    </w:p>
    <w:p>
      <w:pPr>
        <w:pStyle w:val="2"/>
        <w:jc w:val="center"/>
      </w:pPr>
      <w:r>
        <w:rPr>
          <w:sz w:val="20"/>
        </w:rPr>
        <w:t xml:space="preserve">КАДАСТРА И КАРТОГРАФИИ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24 мая 2021 г. N П/0216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РАССМОТРЕНИЯ ДЕКЛАРАЦИИ О ХАРАКТЕРИСТИКАХ ОБЪЕКТА</w:t>
      </w:r>
    </w:p>
    <w:p>
      <w:pPr>
        <w:pStyle w:val="2"/>
        <w:jc w:val="center"/>
      </w:pPr>
      <w:r>
        <w:rPr>
          <w:sz w:val="20"/>
        </w:rPr>
        <w:t xml:space="preserve">НЕДВИЖИМОСТИ, В ТОМ ЧИСЛЕ ЕЕ ФОРМЫ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Росреестра от 17.06.2025 N П/0213/25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22.07.2025 N 83007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Росреестра от 17.06.2025 N П/0213/25)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4 статьи 12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4170) и </w:t>
      </w:r>
      <w:hyperlink w:history="0" r:id="rId10" w:tooltip="Постановление Правительства РФ от 01.06.2009 N 457 (ред. от 13.12.2024) &quot;О Федеральной службе государственной регистрации, кадастра и картографии&quot; (вместе с &quot;Положением о Федеральной службе государственной регистрации, кадастра и картографии&quot;) {КонсультантПлюс}">
        <w:r>
          <w:rPr>
            <w:sz w:val="20"/>
            <w:color w:val="0000ff"/>
          </w:rPr>
          <w:t xml:space="preserve">подпунктом 5.26(7) пункта 5</w:t>
        </w:r>
      </w:hyperlink>
      <w:r>
        <w:rPr>
          <w:sz w:val="20"/>
        </w:rP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рассмотрения декларации о характеристиках объекта недвижимости (приложение N 1);</w:t>
      </w:r>
    </w:p>
    <w:p>
      <w:pPr>
        <w:pStyle w:val="0"/>
        <w:spacing w:before="200" w:lineRule="auto"/>
        <w:ind w:firstLine="540"/>
        <w:jc w:val="both"/>
      </w:pPr>
      <w:hyperlink w:history="0" w:anchor="P100" w:tooltip="Декларация о характеристиках объекта недвижимости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декларации о характеристиках объекта недвижимости (приложение N 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с даты вступления в силу приказа Минэкономразвития России о признании утратившим силу </w:t>
      </w:r>
      <w:hyperlink w:history="0" r:id="rId11" w:tooltip="Приказ Минэкономразвития России от 04.06.2019 N 318 &quot;Об утверждении порядка рассмотрения декларации о характеристиках объекта недвижимости, в том числе ее формы&quot; (Зарегистрировано в Минюсте России 23.09.2019 N 56006) ------------ Утратил силу или отменен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Минэкономразвития России от 4 июня 2019 г. N 318 "Об утверждении порядка рассмотрения декларации о характеристиках объекта недвижимости, в том числе ее формы" (зарегистрирован Минюстом России 23 сентября 2019 г., регистрационный N 56006).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О.А.СКУФИНСКИЙ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24 мая 2021 г. N П/0216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РАССМОТРЕНИЯ ДЕКЛАРАЦИИ О ХАРАКТЕРИСТИКАХ</w:t>
      </w:r>
    </w:p>
    <w:p>
      <w:pPr>
        <w:pStyle w:val="2"/>
        <w:jc w:val="center"/>
      </w:pPr>
      <w:r>
        <w:rPr>
          <w:sz w:val="20"/>
        </w:rPr>
        <w:t xml:space="preserve">ОБЪЕКТА НЕДВИЖИМОСТИ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рассмотрения декларации о характеристиках объекта недвижимости (далее - декларация) бюджетным учреждением, созданным субъектом Российской Федерации и наделенным полномочиями, связанными с определением кадастровой стоимости (далее - бюджетное учреждение).</w:t>
      </w:r>
    </w:p>
    <w:bookmarkStart w:id="40" w:name="P40"/>
    <w:bookmarkEnd w:id="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Бюджетным учреждением рассматривается декларация, поданная правообладателем объекта недвижимости (далее - заявитель) или его представителем по </w:t>
      </w:r>
      <w:hyperlink w:history="0" w:anchor="P100" w:tooltip="Декларация о характеристиках объекта недвижимост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предусмотренной приложением N 2 к настоящему приказу, с приложением: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документов (копий документов) и материалов, указание на которые содержится в декларации, в том числе подтверждающих значение (описание) характеристик, указанных в декларации;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выписки из Единого государственного реестра недвижимости (далее - ЕГРН), содержащей сведения об объекте недвижимости, в том числе о зарегистрированных на него правах;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копий документов, подтверждающих право заявителя на объект недвижимости, предусматривающее временное владение и пользование или временное пользование объектом недвижимости в случае, если соответствующее право не подлежит государственной регистрации в ЕГРН на основании </w:t>
      </w:r>
      <w:hyperlink w:history="0" r:id="rId12" w:tooltip="Федеральный закон от 13.07.2015 N 218-ФЗ (ред. от 31.07.2025) &quot;О государственной регистрации недвижимости&quot; (с изм. и доп., вступ. в силу с 01.09.2025) {КонсультантПлюс}">
        <w:r>
          <w:rPr>
            <w:sz w:val="20"/>
            <w:color w:val="0000ff"/>
          </w:rPr>
          <w:t xml:space="preserve">части 2 статьи 14</w:t>
        </w:r>
      </w:hyperlink>
      <w:r>
        <w:rPr>
          <w:sz w:val="20"/>
        </w:rPr>
        <w:t xml:space="preserve"> Федерального закона от 13 июля 2015 г. N 218-ФЗ "О государственной регистрации недвижимости" (Собрание законодательства Российской Федерации, 2015, N 29, ст. 4344; 2021, N 18, ст. 3064);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доверенности или иного подтверждающего полномочия представителя заявителя документа, удостоверенных в соответствии с законодательством Российской Федерации.</w:t>
      </w:r>
    </w:p>
    <w:bookmarkStart w:id="45" w:name="P45"/>
    <w:bookmarkEnd w:id="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Рассмотрению подлежит декларация, составленная: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бумажном носителе, каждый лист которой заверен собственноручной подписью заявителя или его представителя;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форме электронного документа, подписанного усиленной квалифицированной электронной подписью заявителя или его представителя.</w:t>
      </w:r>
    </w:p>
    <w:bookmarkStart w:id="48" w:name="P48"/>
    <w:bookmarkEnd w:id="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качестве документов (копий документов) и материалов, прилагаемых к декларации, допускается приложение писем, справок, выписок, паспортов, актов, заключений, предоставленных в том числе органами государственной власти и органами местного самоуправления, экспертными, управляющими, ресурсоснабжающими и иными организациями, отчетов об оценке рыночной стоимости объекта оценки, судебных экспертиз, а также материалов (электронных образов страниц сайтов в информационно-телекоммуникационной сети "Интернет", фотографий, выкопировок), подтверждающих указанные в декларации характеристики.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Подписание декларации, подаваемой с использованием единого портала государственных и муниципальных услуг в соответствии с положениями </w:t>
      </w:r>
      <w:hyperlink w:history="0" r:id="rId1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48), усиленной квалифицированной электронной подписью заявителя или представителя заявителя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Бюджетное учреждение обеспечивает принятие и рассмотрение деклараций, представленных в бюджетное учреждение или многофункциональный центр предоставления государственных и муниципальных услуг (далее - многофункциональный центр) лично или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а также регистрируемым почтовым отправлением с уведомлением о вручении.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Декларация не подлежит рассмотрению в соответствии с настоящим Порядком в случае, если: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заявитель, подавший декларацию, не является правообладателем объекта недвижимости, в отношении которого подается декларация;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 декларации не приложены документы (копии документов) и материалы, предусмотренные </w:t>
      </w:r>
      <w:hyperlink w:history="0" w:anchor="P40" w:tooltip="2. Бюджетным учреждением рассматривается декларация, поданная правообладателем объекта недвижимости (далее - заявитель) или его представителем по форме, предусмотренной приложением N 2 к настоящему приказу, с приложением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декларация не соответствует </w:t>
      </w:r>
      <w:hyperlink w:history="0" w:anchor="P100" w:tooltip="Декларация о характеристиках объекта недвижимости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, предусмотренной приложением N 2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декларация не заверена в соответствии с </w:t>
      </w:r>
      <w:hyperlink w:history="0" w:anchor="P45" w:tooltip="3. Рассмотрению подлежит декларация, составленная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декларация и прилагаемые к ней документы (копии документов) и материалы представлены не в соответствии с требованиями, предусмотренными </w:t>
      </w:r>
      <w:hyperlink w:history="0" w:anchor="P48" w:tooltip="4. Декларация, составленная в форме электронного документа, а также электронные документы (копии документов; электронные образы документов, в том числе доверенностей) и материалы, прилагаемые к декларации, подлежат рассмотрению в случае их составления в виде файлов в форматах, обеспечивающих просмотр и копирование подписанных электронных документов и материалов без использования специальных программных средств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если декларация не подлежит рассмотрению, бюджетным учреждением заявителю (представителю заявителя) в течение 5 рабочих дней со дня ее представления направляется уведомление о причинах, по которым такая декларация не подлежит рассмотрению, с приложением документов (копий документов) и материалов, указание на которые содержится в декларации, в том числе подтверждающих значение (описание) указанных в декларации характеристик.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декларация и прилагаемые к ней документы (копии документов) и материалы были направлены в бюджетное учреждение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заявителю (представителю заявителя) в сроки, предусмотренные настоящим пунктом, направляется уведомление о причинах, по которым такая декларация не подлежит рассмотрению, без приложения документов (копий документов) и материалов, указание на которые содержится в декларации.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Правила рассмотрения декларации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Днем представления декларации считается день ее поступления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декларации почтовой связью), либо день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подачи декларации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бюджетное учреждение не позднее рабочего дня, следующего за днем поступления декларации, уведомляет заявителя (представителя заявителя) о поступлении такой декларации.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поступлении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 о поступлении декларации направляется почтовым отправлением по адресу,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поступлении декларации должно содержать кадастровый номер объекта недвижимости, в отношении которого подана декларация, входящий регистрационный номер, присвоенный бюджетным учреждением соответствующей декларации, и дату ее подачи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Декларация рассматривается в течение 30 рабочих дней со дня представления декларации.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случаях, предусмотренных </w:t>
      </w:r>
      <w:hyperlink w:history="0" r:id="rId14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6 статьи 12</w:t>
        </w:r>
      </w:hyperlink>
      <w:r>
        <w:rPr>
          <w:sz w:val="20"/>
        </w:rPr>
        <w:t xml:space="preserve">, </w:t>
      </w:r>
      <w:hyperlink w:history="0" r:id="rId15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частями 5</w:t>
        </w:r>
      </w:hyperlink>
      <w:r>
        <w:rPr>
          <w:sz w:val="20"/>
        </w:rPr>
        <w:t xml:space="preserve"> и </w:t>
      </w:r>
      <w:hyperlink w:history="0" r:id="rId16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20 статьи 14</w:t>
        </w:r>
      </w:hyperlink>
      <w:r>
        <w:rPr>
          <w:sz w:val="20"/>
        </w:rPr>
        <w:t xml:space="preserve"> Федерального закона от 3 июля 2016 г. N 237-ФЗ "О государственной кадастровой оценке"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заявителя (представителя заявителя), подавшего декларацию.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продлении срока рассмотрения декларации, предусмотренное настоящим пунктом, направляется заявителю (представителю заявителя) по адресу электронной почты (при наличии),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 о продлении срока рассмотрения декларации направляется почтовым отправлением по адресу,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течение срока рассмотрения декларации бюджетное учреждение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использовать информацию, полученную из официальных источников, в том числе в соответствии с </w:t>
      </w:r>
      <w:hyperlink w:history="0" r:id="rId17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частью 7 статьи 12</w:t>
        </w:r>
      </w:hyperlink>
      <w:r>
        <w:rPr>
          <w:sz w:val="20"/>
        </w:rPr>
        <w:t xml:space="preserve">, </w:t>
      </w:r>
      <w:hyperlink w:history="0" r:id="rId18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частями 6</w:t>
        </w:r>
      </w:hyperlink>
      <w:r>
        <w:rPr>
          <w:sz w:val="20"/>
        </w:rPr>
        <w:t xml:space="preserve"> и </w:t>
      </w:r>
      <w:hyperlink w:history="0" r:id="rId19" w:tooltip="Федеральный закон от 03.07.2016 N 237-ФЗ (ред. от 23.07.2025) &quot;О государственной кадастровой оценке&quot; {КонсультантПлюс}">
        <w:r>
          <w:rPr>
            <w:sz w:val="20"/>
            <w:color w:val="0000ff"/>
          </w:rPr>
          <w:t xml:space="preserve">20 статьи 14</w:t>
        </w:r>
      </w:hyperlink>
      <w:r>
        <w:rPr>
          <w:sz w:val="20"/>
        </w:rPr>
        <w:t xml:space="preserve"> Федерального закона о государственной кадастровой оценке;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использовать общедоступную информацию, содержащуюся на официальных сайтах федеральных органов исполнительной власти и подведомственных им организаций, органов исполнительной власти субъекта Российской Федерации и органов местного самоуправления, а также подведомственных им организаций в информационно-телекоммуникационной сети "Интернет".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</w:t>
      </w:r>
      <w:hyperlink w:history="0" w:anchor="P72" w:tooltip="12. В течение срока рассмотрения декларации бюджетное учреждение вправе: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Содержащаяся в декларации информация считается подтвержденной бюджетным учреждением в случае ее соответствия сведениям и информации, имеющимся в распоряжении бюджетного учреждения, полученным в том числе в соответствии с </w:t>
      </w:r>
      <w:hyperlink w:history="0" w:anchor="P72" w:tooltip="12. В течение срока рассмотрения декларации бюджетное учреждение вправе: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если в ходе проверки, предусмотренной </w:t>
      </w:r>
      <w:hyperlink w:history="0" w:anchor="P75" w:tooltip="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пунктом 12 настоящего Порядк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Порядка, достоверность информации, содержащейся в декларации, подтверждена, такая информация учитывается бюджетным учреждением, за исключением случая, предусмотренного </w:t>
      </w:r>
      <w:hyperlink w:history="0" w:anchor="P78" w:tooltip="15. В случае если информация, содержащаяся в декларации, противоречит сведениям, содержащимся в ЕГРН, или в ходе проверки, предусмотренной пунктом 13 настоящего Порядка, достоверность указанной информации не подтверждена, такая информация не учитывается бюджетным учреждением.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Порядка.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случае если информация, содержащаяся в декларации, противоречит сведениям, содержащимся в ЕГРН, или в ходе проверки, предусмотренной </w:t>
      </w:r>
      <w:hyperlink w:history="0" w:anchor="P75" w:tooltip="13. Бюджетное учреждение в ходе рассмотрения декларации проверяет информацию, содержащуюся в декларации, путем сопоставления указанной информации с имеющимися в распоряжении бюджетного учреждения сведениями и информацией, полученными в том числе в соответствии с пунктом 12 настоящего Порядк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Порядка, достоверность указанной информации не подтверждена, такая информация не учитывается бюджетным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случае выявления ошибок в сведениях ЕГРН бюджетное учреждение направляет сведения о выявленных ошибках в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ЕГРН, в течение 5 рабочих дней со дня истечения сроков рассмотрения декларации, предусмотренных </w:t>
      </w:r>
      <w:hyperlink w:history="0" w:anchor="P68" w:tooltip="10. Декларация рассматривается в течение 30 рабочих дней со дня представления декларации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 и </w:t>
      </w:r>
      <w:hyperlink w:history="0" w:anchor="P69" w:tooltip="11. В случаях, предусмотренных частью 6 статьи 12, частями 5 и 20 статьи 14 Федерального закона от 3 июля 2016 г. N 237-ФЗ &quot;О государственной кадастровой оценке&quot;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...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Порядка, уведомив заявителя (представителя заявителя), подавшего декларацию.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течение 5 рабочих дней со дня истечения сроков рассмотрения декларации, предусмотренных </w:t>
      </w:r>
      <w:hyperlink w:history="0" w:anchor="P68" w:tooltip="10. Декларация рассматривается в течение 30 рабочих дней со дня представления декларации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 и </w:t>
      </w:r>
      <w:hyperlink w:history="0" w:anchor="P69" w:tooltip="11. В случаях, предусмотренных частью 6 статьи 12, частями 5 и 20 статьи 14 Федерального закона от 3 июля 2016 г. N 237-ФЗ &quot;О государственной кадастровой оценке&quot; (Собрание законодательства Российской Федерации, 2016, N 27, ст. 4170; 2020, N 31, ст. 5028; далее - Федеральный закон о государственной кадастровой оценке), руководитель бюджетного учреждения либо уполномоченное на то лицо вправе продлить срок рассмотрения декларации не более чем на 30 рабочих дней, уведомив о продлении срока ее рассмотрения за...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Порядка, бюджетным учреждением заявителю (представителю заявителя) направляется уведомление с указанием учтенной информации, содержащейся в декларации, а также неучтенной информации и причин, по которым она не была учтена, по адресу электронной почты (при наличии),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декларации не указан адрес электронной почты заявителя (представителя заявителя), уведомление, предусмотренное настоящим пунктом, направляется почтовым отправлением по адресу, указанному в </w:t>
      </w:r>
      <w:hyperlink w:history="0" w:anchor="P120" w:tooltip="2.2">
        <w:r>
          <w:rPr>
            <w:sz w:val="20"/>
            <w:color w:val="0000ff"/>
          </w:rPr>
          <w:t xml:space="preserve">пункте 2.2 раздела 2</w:t>
        </w:r>
      </w:hyperlink>
      <w:r>
        <w:rPr>
          <w:sz w:val="20"/>
        </w:rPr>
        <w:t xml:space="preserve"> или в </w:t>
      </w:r>
      <w:hyperlink w:history="0" w:anchor="P134" w:tooltip="3.3">
        <w:r>
          <w:rPr>
            <w:sz w:val="20"/>
            <w:color w:val="0000ff"/>
          </w:rPr>
          <w:t xml:space="preserve">пункте 3.3 раздела 3</w:t>
        </w:r>
      </w:hyperlink>
      <w:r>
        <w:rPr>
          <w:sz w:val="20"/>
        </w:rPr>
        <w:t xml:space="preserve"> декларации, форма которой приведена в приложении N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Сведения об объектах недвижимости (адрес или описание местоположения (при отсутствии присвоенного адреса), кадастровый номер), в отношении которых рассмотрены декларации, ежеквартально публикуются бюджетным учреждением на своем официальном сайте в информационно-телекоммуникационной сети "Интернет" не позднее пятого числа месяца, следующего за прошедшим кварталом.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Росреестра</w:t>
      </w:r>
    </w:p>
    <w:p>
      <w:pPr>
        <w:pStyle w:val="0"/>
        <w:jc w:val="right"/>
      </w:pPr>
      <w:r>
        <w:rPr>
          <w:sz w:val="20"/>
        </w:rPr>
        <w:t xml:space="preserve">от 24 мая 2021 г. N П/0216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0" w:tooltip="Приказ Росреестра от 17.06.2025 N П/0213/25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22.07.2025 N 83007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Росреестра от 17.06.2025 N П/0213/25)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0"/>
        <w:gridCol w:w="340"/>
        <w:gridCol w:w="567"/>
        <w:gridCol w:w="958"/>
        <w:gridCol w:w="340"/>
        <w:gridCol w:w="615"/>
        <w:gridCol w:w="842"/>
        <w:gridCol w:w="599"/>
        <w:gridCol w:w="1439"/>
        <w:gridCol w:w="340"/>
        <w:gridCol w:w="340"/>
        <w:gridCol w:w="544"/>
        <w:gridCol w:w="583"/>
        <w:gridCol w:w="609"/>
        <w:gridCol w:w="340"/>
      </w:tblGrid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6"/>
            <w:tcW w:w="369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563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6"/>
            <w:tcW w:w="369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9"/>
            <w:tcW w:w="563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bookmarkStart w:id="100" w:name="P100"/>
          <w:bookmarkEnd w:id="100"/>
          <w:p>
            <w:pPr>
              <w:pStyle w:val="0"/>
              <w:jc w:val="center"/>
            </w:pPr>
            <w:r>
              <w:rPr>
                <w:sz w:val="20"/>
              </w:rPr>
              <w:t xml:space="preserve">Декларация о характеристиках объекта недвижимости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1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Общие сведения об объекте недвижимости, заявителе (представителе заявителя)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7"/>
            <w:tcW w:w="41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</w:t>
            </w:r>
          </w:p>
        </w:tc>
      </w:tr>
      <w:tr>
        <w:tc>
          <w:tcPr>
            <w:tcW w:w="8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14"/>
            <w:tcW w:w="84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Основные характеристики объекта недвижимости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объекта недвижимости (земельный участок, здание, помещение, сооружение, объект незавершенного строительства, машино-место)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14"/>
            <w:tcW w:w="84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заявителе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(последнее - при наличии) физического лица;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bookmarkStart w:id="120" w:name="P120"/>
          <w:bookmarkEnd w:id="120"/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Телефон для связи (по желанию)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14"/>
            <w:tcW w:w="845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представителе заявителя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физического лица (последнее - при наличии); организационно-правовая форма юридического лица и его полное наименование, соответствующие информации, содержащейся в Едином государственном реестре юридических лиц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gridSpan w:val="7"/>
            <w:tcW w:w="4261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и реквизиты документа, удостоверяющего полномочия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bookmarkStart w:id="134" w:name="P134"/>
          <w:bookmarkEnd w:id="134"/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gridSpan w:val="7"/>
            <w:tcW w:w="426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Почтовый адрес (почтовый индекс, наименование субъекта Российской Федерации, район, город, населенный пункт, улица, номер дома (здания, владения), корпус (строение, литера), номер квартиры (помещения) и (или) адрес электронной почты (при наличии), по которым должны быть направлены уведомление о причинах, по которым декларация не подлежит рассмотрению, и (или) уведомление о продлении срока рассмотрения декларации, и (или) уведомление с указанием учтенной и (или) неучтенной информации, содержащейся в декларации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gridSpan w:val="7"/>
            <w:tcW w:w="426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Телефон для связи (по желанию)</w:t>
            </w:r>
          </w:p>
        </w:tc>
        <w:tc>
          <w:tcPr>
            <w:gridSpan w:val="7"/>
            <w:tcW w:w="419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14"/>
            <w:tcW w:w="8456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left w:val="nil"/>
            <w:insideV w:val="nil"/>
            <w:insideH w:val="nil"/>
          </w:tblBorders>
        </w:tblPrEx>
        <w:tc>
          <w:tcPr>
            <w:tcBorders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insideV w:val="nil"/>
          </w:tblBorders>
        </w:tblPrEx>
        <w:tc>
          <w:tcPr>
            <w:tcBorders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8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8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38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14"/>
            <w:tcW w:w="8456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 на обработку персональных данных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vAlign w:val="center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бюджетного учреждения, осуществляющего обработку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 (последнее - при наличии) субъекта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места жительства субъекта персональных данных)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07" w:type="dxa"/>
            <w:vAlign w:val="center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0"/>
            <w:tcW w:w="660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(документ, удостоверяющий личность субъекта персональных данных, его серия и номер, дата выдачи и выдавший орган)</w:t>
            </w:r>
          </w:p>
        </w:tc>
        <w:tc>
          <w:tcPr>
            <w:gridSpan w:val="2"/>
            <w:tcW w:w="949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 согласие на обработку моих персональных данных, предусмотренную </w:t>
            </w:r>
            <w:hyperlink w:history="0" r:id="rId21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пунктом 3 статьи 3</w:t>
              </w:r>
            </w:hyperlink>
            <w:r>
              <w:rPr>
                <w:sz w:val="20"/>
              </w:rPr>
              <w:t xml:space="preserve"> Федерального закона от 27 июля 2006 г. N 152-ФЗ "О персональных данных" (Собрание законодательства Российской Федерации, 2006, N 31, ст. 3451; 2011, N 31, ст. 4701), в целях рассмотрения декларации о характеристиках объекта недвижимости бюджетным учреждением, созданным субъектом Российской Федерации и наделенным полномочиями, связанными с определением кадастровой стоимости, в соответствии с Федеральным </w:t>
            </w:r>
            <w:hyperlink w:history="0" r:id="rId22" w:tooltip="Федеральный закон от 03.07.2016 N 237-ФЗ (ред. от 23.07.2025) &quot;О государственной кадастровой оценке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3 июля 2016 г. N 237-ФЗ "О государственной кадастровой оценке" (Собрание законодательства Российской Федерации, 2016, N 27, ст. 4170; 2020, N 31, ст. 5028).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  <w:vAlign w:val="center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2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Характеристики объекта недвижимости (для земельного участка)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gridSpan w:val="6"/>
            <w:tcW w:w="27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history="0" w:anchor="P668" w:tooltip="Раздел 4">
              <w:r>
                <w:rPr>
                  <w:sz w:val="20"/>
                  <w:color w:val="0000ff"/>
                </w:rPr>
                <w:t xml:space="preserve">разделом 4</w:t>
              </w:r>
            </w:hyperlink>
            <w:r>
              <w:rPr>
                <w:sz w:val="20"/>
              </w:rPr>
              <w:t xml:space="preserve"> декларации</w:t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или описание местоположения (при отсутствии присвоенного адреса) земельного участка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Площадь, кв. 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Категория земель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(виды)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Фактическое использование земельного участка, соответствующее виду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расположен в границах особо охраняемой природной территории, охотничьих угодий, лесничеств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том, что земельный участок расположен в границах особой экономической зоны, территории опережающего развития, игорной зоны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об установленных сервитутах, публичных сервитутах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автомобильных дорог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наличии/отсутствии подъездных путей, обеспечивающих непосредственный доступ к земельному участку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Описание инженерных коммуникаций, в том числе их удаленность от земельного участка (в метрах). Если инженерные коммуникации отсутствуют, может быть указано расстояние (в метрах) до магистральных инженерных коммуникаций, а также возможность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или невозможность подключения к ним объектов, расположенных на соответствующем земельном участке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Электроснабжение: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электрическим сетям инженерно-технического обеспечения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электрическим сетям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Газоснабжение: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13.2.3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Теплоснабжение: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13.4.2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Водоотведение: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13.5.2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ближайшего водного объекта (в метрах), его тип и 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ближайшей рекреационной зоны (в метрах), ее тип и 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железных дорог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железнодорожных вокзалов/станций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Удаленность земельного участка от зоны разработки полезных ископаемых, зон с особыми условиями использования территорий (в метрах)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сельскохозяйственных угодий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Показатели состояния почв земельного участка сельскохозяйственного назначения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недостатков, препятствующих рациональному использованию и охране земель, в том числе вклинивание, вкрапливание, изломанность границ, чересполосица, невозможность размещения объектов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14"/>
            <w:tcW w:w="8456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gridSpan w:val="12"/>
            <w:tcW w:w="77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gridSpan w:val="12"/>
            <w:tcW w:w="7794" w:type="dxa"/>
            <w:tcBorders>
              <w:top w:val="nil"/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3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Характеристики объекта недвижимости (для здания, помещения, сооружения, объекта незавершенного строительства, машино-места)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6"/>
            <w:tcW w:w="3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характеристики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(описание) характеристики (если значение (описание) не заявляется, соответствующие ему пункты не заполняются)</w:t>
            </w:r>
          </w:p>
        </w:tc>
        <w:tc>
          <w:tcPr>
            <w:gridSpan w:val="6"/>
            <w:tcW w:w="275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Порядковый номер документа (копии документа)/материала, подтверждающего значение (описание) характеристики, содержащейся в декларации, в соответствии с </w:t>
            </w:r>
            <w:hyperlink w:history="0" w:anchor="P668" w:tooltip="Раздел 4">
              <w:r>
                <w:rPr>
                  <w:sz w:val="20"/>
                  <w:color w:val="0000ff"/>
                </w:rPr>
                <w:t xml:space="preserve">разделом 4</w:t>
              </w:r>
            </w:hyperlink>
            <w:r>
              <w:rPr>
                <w:sz w:val="20"/>
              </w:rPr>
              <w:t xml:space="preserve"> декларации</w:t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или описание местоположения (при отсутствии присвоенного адреса)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Площадь, кв. 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Тип и значение основной характеристики сооружения (протяженность, глубина, глубина залегания, площадь, объем, высота, площадь застройки объекта недвижимости)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Степень готовности объекта незавершенного строительства (в процентах)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Тип и проектируемое значение основной характеристики объекта незавершенного строительства (протяженность, глубина, глубина залегания, площадь, площадь застройки, объем, высота)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Проектируемое назначение здания, сооружения, строительство которых не завершено, для объектов незавершенного строительства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этажей для здания, сооружения (при наличии этажности), в том числе: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подземный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технический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мансардный этаж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типы этажей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этажа здания или сооружения, на котором расположено помещение или машино-место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Серия многоквартирного дома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наружных стен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основных несущих конструкций, перекрытий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Материал кровли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Год ввода в эксплуатацию объекта недвижимости после завершения строительства либо год завершения строительства, если в соответствии с федеральным законом выдача разрешения на ввод объекта в эксплуатацию не предусматривается (для здания и сооружения)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окончания проведения капитального ремонта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окончания проведения реконструкции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жилого помещения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или виды разрешенного использования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Процент физического износа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признании объекта недвижимости ветхим или аварийным, наличие признаков аварийности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Описание инженерных коммуникаций, в том числе их удаленность (в метрах) от объекта недвижимости. Если инженерные коммуникации отсутствуют, указывается расстояние объекта недвижимости до магистральных инженерных коммуникаций (в метрах), а также возможность или невозможность подключения к ним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Электроснабжение: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электрическим сетям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инженерно-технического обеспечения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23.1.3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электрической сети, к которой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Газоснабжение: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23.2.1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23.2.2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сетям газораспределения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23.2.3</w:t>
            </w:r>
          </w:p>
        </w:tc>
        <w:tc>
          <w:tcPr>
            <w:gridSpan w:val="6"/>
            <w:tcW w:w="3662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Мощность сетей газораспределения, к которым подключен объект недвижимости, либо мощность сети, к которой возможно подключение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23.3.2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Теплоснабжение: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23.4.2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теплоснабжения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Водоотведение: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23.5.1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Наличие/отсутствие централизованного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23.5.2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Возможность/отсутствие возможности подключения к системе водоотведения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6"/>
            <w:tcW w:w="3662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Иные характеристики объекта недвижимости</w:t>
            </w:r>
          </w:p>
        </w:tc>
        <w:tc>
          <w:tcPr>
            <w:gridSpan w:val="2"/>
            <w:tcW w:w="20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27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gridSpan w:val="14"/>
            <w:tcW w:w="8456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bookmarkStart w:id="668" w:name="P668"/>
          <w:bookmarkEnd w:id="668"/>
          <w:p>
            <w:pPr>
              <w:pStyle w:val="0"/>
              <w:outlineLvl w:val="1"/>
              <w:jc w:val="right"/>
            </w:pPr>
            <w:r>
              <w:rPr>
                <w:sz w:val="20"/>
              </w:rPr>
              <w:t xml:space="preserve">Раздел 4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Реестр документов (копий документов) и материалов, прилагаемых к декларации</w:t>
            </w:r>
          </w:p>
        </w:tc>
      </w:tr>
      <w:tr>
        <w:tblPrEx>
          <w:tblBorders>
            <w:left w:val="nil"/>
            <w:right w:val="nil"/>
            <w:insideH w:val="nil"/>
          </w:tblBorders>
        </w:tblPrEx>
        <w:tc>
          <w:tcPr>
            <w:gridSpan w:val="15"/>
            <w:tcW w:w="9326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14"/>
            <w:tcW w:w="84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 (при наличии) документов (копий документов) и материалов, прилагаемых к декларации</w:t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87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4"/>
            <w:tcW w:w="8456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Достоверность и полноту сведений, указанных в настоящей декларации, подтверждаю</w:t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tcW w:w="870" w:type="dxa"/>
            <w:tcBorders>
              <w:top w:val="nil"/>
              <w:left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</w:tblBorders>
        </w:tblPrEx>
        <w:tc>
          <w:tcPr>
            <w:tcBorders>
              <w:top w:val="nil"/>
              <w:left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5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3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 имя отчество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(последнее - при наличии)</w:t>
            </w: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2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340" w:type="dxa"/>
            <w:tcBorders>
              <w:top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</w:tblBorders>
        </w:tblPrEx>
        <w:tc>
          <w:tcPr>
            <w:tcW w:w="87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  <w:insideV w:val="nil"/>
            <w:insideH w:val="nil"/>
          </w:tblBorders>
        </w:tblPrEx>
        <w:tc>
          <w:tcPr>
            <w:tcW w:w="87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11"/>
            <w:tcW w:w="692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153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Росреестра от 24.05.2021 N П/0216</w:t>
            <w:br/>
            <w:t>(ред. от 17.06.2025)</w:t>
            <w:br/>
            <w:t>"Об утверждении Порядка рассмотрения декларации о характер...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10449&amp;dst=100016" TargetMode = "External"/><Relationship Id="rId9" Type="http://schemas.openxmlformats.org/officeDocument/2006/relationships/hyperlink" Target="https://login.consultant.ru/link/?req=doc&amp;base=RZR&amp;n=510660&amp;dst=100094" TargetMode = "External"/><Relationship Id="rId10" Type="http://schemas.openxmlformats.org/officeDocument/2006/relationships/hyperlink" Target="https://login.consultant.ru/link/?req=doc&amp;base=RZR&amp;n=493331&amp;dst=66" TargetMode = "External"/><Relationship Id="rId11" Type="http://schemas.openxmlformats.org/officeDocument/2006/relationships/hyperlink" Target="https://login.consultant.ru/link/?req=doc&amp;base=RZR&amp;n=333974" TargetMode = "External"/><Relationship Id="rId12" Type="http://schemas.openxmlformats.org/officeDocument/2006/relationships/hyperlink" Target="https://login.consultant.ru/link/?req=doc&amp;base=RZR&amp;n=500339&amp;dst=100193" TargetMode = "External"/><Relationship Id="rId13" Type="http://schemas.openxmlformats.org/officeDocument/2006/relationships/hyperlink" Target="https://login.consultant.ru/link/?req=doc&amp;base=RZR&amp;n=511331&amp;dst=100064" TargetMode = "External"/><Relationship Id="rId14" Type="http://schemas.openxmlformats.org/officeDocument/2006/relationships/hyperlink" Target="https://login.consultant.ru/link/?req=doc&amp;base=RZR&amp;n=510660&amp;dst=44" TargetMode = "External"/><Relationship Id="rId15" Type="http://schemas.openxmlformats.org/officeDocument/2006/relationships/hyperlink" Target="https://login.consultant.ru/link/?req=doc&amp;base=RZR&amp;n=510660&amp;dst=137" TargetMode = "External"/><Relationship Id="rId16" Type="http://schemas.openxmlformats.org/officeDocument/2006/relationships/hyperlink" Target="https://login.consultant.ru/link/?req=doc&amp;base=RZR&amp;n=510660&amp;dst=159" TargetMode = "External"/><Relationship Id="rId17" Type="http://schemas.openxmlformats.org/officeDocument/2006/relationships/hyperlink" Target="https://login.consultant.ru/link/?req=doc&amp;base=RZR&amp;n=510660&amp;dst=45" TargetMode = "External"/><Relationship Id="rId18" Type="http://schemas.openxmlformats.org/officeDocument/2006/relationships/hyperlink" Target="https://login.consultant.ru/link/?req=doc&amp;base=RZR&amp;n=510660&amp;dst=138" TargetMode = "External"/><Relationship Id="rId19" Type="http://schemas.openxmlformats.org/officeDocument/2006/relationships/hyperlink" Target="https://login.consultant.ru/link/?req=doc&amp;base=RZR&amp;n=510660&amp;dst=159" TargetMode = "External"/><Relationship Id="rId20" Type="http://schemas.openxmlformats.org/officeDocument/2006/relationships/hyperlink" Target="https://login.consultant.ru/link/?req=doc&amp;base=RZR&amp;n=510449&amp;dst=100016" TargetMode = "External"/><Relationship Id="rId21" Type="http://schemas.openxmlformats.org/officeDocument/2006/relationships/hyperlink" Target="https://login.consultant.ru/link/?req=doc&amp;base=RZR&amp;n=499769&amp;dst=100239" TargetMode = "External"/><Relationship Id="rId22" Type="http://schemas.openxmlformats.org/officeDocument/2006/relationships/hyperlink" Target="https://login.consultant.ru/link/?req=doc&amp;base=RZR&amp;n=51066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Росреестра от 24.05.2021 N П/0216
(ред. от 17.06.2025)
"Об утверждении Порядка рассмотрения декларации о характеристиках объекта недвижимости, в том числе ее формы"
(Зарегистрировано в Минюсте России 17.09.2021 N 65037)</dc:title>
  <dcterms:created xsi:type="dcterms:W3CDTF">2025-12-23T08:33:24Z</dcterms:created>
</cp:coreProperties>
</file>